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D57FD" w:rsidRPr="00ED57FD" w:rsidTr="00ED57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D57FD" w:rsidRPr="00ED57F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after="0" w:line="240" w:lineRule="atLeast"/>
                    <w:rPr>
                      <w:rFonts w:eastAsia="Times New Roman"/>
                      <w:color w:val="auto"/>
                      <w:kern w:val="0"/>
                      <w:lang w:eastAsia="tr-TR"/>
                    </w:rPr>
                  </w:pPr>
                  <w:r w:rsidRPr="00ED57FD">
                    <w:rPr>
                      <w:rFonts w:ascii="Arial" w:eastAsia="Times New Roman" w:hAnsi="Arial" w:cs="Arial"/>
                      <w:color w:val="auto"/>
                      <w:kern w:val="0"/>
                      <w:sz w:val="16"/>
                      <w:szCs w:val="16"/>
                      <w:lang w:eastAsia="tr-TR"/>
                    </w:rPr>
                    <w:t>25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after="0" w:line="240" w:lineRule="atLeast"/>
                    <w:jc w:val="center"/>
                    <w:rPr>
                      <w:rFonts w:eastAsia="Times New Roman"/>
                      <w:color w:val="auto"/>
                      <w:kern w:val="0"/>
                      <w:lang w:eastAsia="tr-TR"/>
                    </w:rPr>
                  </w:pPr>
                  <w:r w:rsidRPr="00ED57FD">
                    <w:rPr>
                      <w:rFonts w:ascii="Palatino Linotype" w:eastAsia="Times New Roman" w:hAnsi="Palatino Linotype"/>
                      <w:b/>
                      <w:bCs/>
                      <w:color w:val="800080"/>
                      <w:kern w:val="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before="100" w:beforeAutospacing="1" w:after="100" w:afterAutospacing="1" w:line="240" w:lineRule="auto"/>
                    <w:jc w:val="right"/>
                    <w:rPr>
                      <w:rFonts w:eastAsia="Times New Roman"/>
                      <w:color w:val="auto"/>
                      <w:kern w:val="0"/>
                      <w:lang w:eastAsia="tr-TR"/>
                    </w:rPr>
                  </w:pPr>
                  <w:proofErr w:type="gramStart"/>
                  <w:r w:rsidRPr="00ED57FD">
                    <w:rPr>
                      <w:rFonts w:ascii="Arial" w:eastAsia="Times New Roman" w:hAnsi="Arial" w:cs="Arial"/>
                      <w:color w:val="auto"/>
                      <w:kern w:val="0"/>
                      <w:sz w:val="16"/>
                      <w:szCs w:val="16"/>
                      <w:lang w:eastAsia="tr-TR"/>
                    </w:rPr>
                    <w:t>Sayı : 27035</w:t>
                  </w:r>
                  <w:proofErr w:type="gramEnd"/>
                </w:p>
              </w:tc>
            </w:tr>
            <w:tr w:rsidR="00ED57FD" w:rsidRPr="00ED57FD">
              <w:trPr>
                <w:trHeight w:val="480"/>
                <w:jc w:val="center"/>
              </w:trPr>
              <w:tc>
                <w:tcPr>
                  <w:tcW w:w="8789" w:type="dxa"/>
                  <w:gridSpan w:val="3"/>
                  <w:tcMar>
                    <w:top w:w="0" w:type="dxa"/>
                    <w:left w:w="108" w:type="dxa"/>
                    <w:bottom w:w="0" w:type="dxa"/>
                    <w:right w:w="108" w:type="dxa"/>
                  </w:tcMar>
                  <w:vAlign w:val="center"/>
                  <w:hideMark/>
                </w:tcPr>
                <w:p w:rsidR="00ED57FD" w:rsidRPr="00ED57FD" w:rsidRDefault="00ED57FD" w:rsidP="00ED57FD">
                  <w:pPr>
                    <w:spacing w:before="100" w:beforeAutospacing="1" w:after="100" w:afterAutospacing="1" w:line="240" w:lineRule="auto"/>
                    <w:jc w:val="center"/>
                    <w:rPr>
                      <w:rFonts w:eastAsia="Times New Roman"/>
                      <w:color w:val="auto"/>
                      <w:kern w:val="0"/>
                      <w:lang w:eastAsia="tr-TR"/>
                    </w:rPr>
                  </w:pPr>
                  <w:r w:rsidRPr="00ED57FD">
                    <w:rPr>
                      <w:rFonts w:ascii="Arial" w:eastAsia="Times New Roman" w:hAnsi="Arial" w:cs="Arial"/>
                      <w:b/>
                      <w:bCs/>
                      <w:color w:val="000080"/>
                      <w:kern w:val="0"/>
                      <w:sz w:val="18"/>
                      <w:szCs w:val="18"/>
                      <w:lang w:eastAsia="tr-TR"/>
                    </w:rPr>
                    <w:t>TEBLİĞ</w:t>
                  </w:r>
                </w:p>
              </w:tc>
            </w:tr>
            <w:tr w:rsidR="00ED57FD" w:rsidRPr="00ED57FD">
              <w:trPr>
                <w:trHeight w:val="480"/>
                <w:jc w:val="center"/>
              </w:trPr>
              <w:tc>
                <w:tcPr>
                  <w:tcW w:w="8789" w:type="dxa"/>
                  <w:gridSpan w:val="3"/>
                  <w:tcMar>
                    <w:top w:w="0" w:type="dxa"/>
                    <w:left w:w="108" w:type="dxa"/>
                    <w:bottom w:w="0" w:type="dxa"/>
                    <w:right w:w="108" w:type="dxa"/>
                  </w:tcMar>
                  <w:vAlign w:val="center"/>
                  <w:hideMark/>
                </w:tcPr>
                <w:p w:rsidR="00ED57FD" w:rsidRPr="00ED57FD" w:rsidRDefault="00ED57FD" w:rsidP="00ED57FD">
                  <w:pPr>
                    <w:spacing w:after="0" w:line="240" w:lineRule="auto"/>
                    <w:rPr>
                      <w:rFonts w:eastAsia="Times New Roman"/>
                      <w:color w:val="auto"/>
                      <w:kern w:val="0"/>
                      <w:lang w:eastAsia="tr-TR"/>
                    </w:rPr>
                  </w:pPr>
                  <w:r w:rsidRPr="00ED57FD">
                    <w:rPr>
                      <w:rFonts w:eastAsia="Times New Roman"/>
                      <w:color w:val="auto"/>
                      <w:kern w:val="0"/>
                      <w:sz w:val="20"/>
                      <w:szCs w:val="20"/>
                      <w:lang w:eastAsia="tr-TR"/>
                    </w:rPr>
                    <w:t>             </w:t>
                  </w:r>
                  <w:r w:rsidRPr="00ED57FD">
                    <w:rPr>
                      <w:rFonts w:eastAsia="Times New Roman"/>
                      <w:color w:val="auto"/>
                      <w:kern w:val="0"/>
                      <w:sz w:val="20"/>
                      <w:szCs w:val="20"/>
                      <w:u w:val="single"/>
                      <w:lang w:eastAsia="tr-TR"/>
                    </w:rPr>
                    <w:t>Devlet Bakanlığı, Milli Eğitim Bakanlığı ve İçişleri Bakanlığından:</w:t>
                  </w:r>
                </w:p>
                <w:p w:rsidR="00ED57FD" w:rsidRPr="00ED57FD" w:rsidRDefault="00ED57FD" w:rsidP="00ED57FD">
                  <w:pPr>
                    <w:spacing w:before="56"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DANIŞMANLIK TEDBİRİ KARARLARININ UYGULAMA USUL VE</w:t>
                  </w:r>
                </w:p>
                <w:p w:rsidR="00ED57FD" w:rsidRPr="00ED57FD" w:rsidRDefault="00ED57FD" w:rsidP="00ED57FD">
                  <w:pPr>
                    <w:spacing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ESASLARI HAKKINDA TEBLİĞ</w:t>
                  </w:r>
                </w:p>
                <w:p w:rsidR="00ED57FD" w:rsidRPr="00ED57FD" w:rsidRDefault="00ED57FD" w:rsidP="00ED57FD">
                  <w:pPr>
                    <w:spacing w:before="170"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BİRİNCİ BÖLÜM</w:t>
                  </w:r>
                </w:p>
                <w:p w:rsidR="00ED57FD" w:rsidRPr="00ED57FD" w:rsidRDefault="00ED57FD" w:rsidP="00ED57FD">
                  <w:pPr>
                    <w:spacing w:after="113"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Amaç, Kapsam, Dayanak ve Tanımlar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Amaç</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 –</w:t>
                  </w:r>
                  <w:r w:rsidRPr="00ED57FD">
                    <w:rPr>
                      <w:rFonts w:eastAsia="Times New Roman"/>
                      <w:color w:val="auto"/>
                      <w:kern w:val="0"/>
                      <w:sz w:val="18"/>
                      <w:szCs w:val="18"/>
                      <w:lang w:eastAsia="tr-TR"/>
                    </w:rPr>
                    <w:t> (1) Bu Tebliğin amacı, korunma ihtiyacı olan veya suça sürüklenen çocuklar hakkında verilen danışmanlık tedbirlerinin uygulanmasına ilişkin </w:t>
                  </w:r>
                  <w:proofErr w:type="spellStart"/>
                  <w:r w:rsidRPr="00ED57FD">
                    <w:rPr>
                      <w:rFonts w:eastAsia="Times New Roman"/>
                      <w:color w:val="auto"/>
                      <w:kern w:val="0"/>
                      <w:sz w:val="18"/>
                      <w:lang w:eastAsia="tr-TR"/>
                    </w:rPr>
                    <w:t>usûl</w:t>
                  </w:r>
                  <w:proofErr w:type="spellEnd"/>
                  <w:r w:rsidRPr="00ED57FD">
                    <w:rPr>
                      <w:rFonts w:eastAsia="Times New Roman"/>
                      <w:color w:val="auto"/>
                      <w:kern w:val="0"/>
                      <w:sz w:val="18"/>
                      <w:szCs w:val="18"/>
                      <w:lang w:eastAsia="tr-TR"/>
                    </w:rPr>
                    <w:t> ve esasları düzenlemektir.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Kapsam</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2 –</w:t>
                  </w:r>
                  <w:r w:rsidRPr="00ED57FD">
                    <w:rPr>
                      <w:rFonts w:eastAsia="Times New Roman"/>
                      <w:color w:val="auto"/>
                      <w:kern w:val="0"/>
                      <w:sz w:val="18"/>
                      <w:szCs w:val="18"/>
                      <w:lang w:eastAsia="tr-TR"/>
                    </w:rPr>
                    <w:t>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Dayanak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3 – </w:t>
                  </w:r>
                  <w:r w:rsidRPr="00ED57FD">
                    <w:rPr>
                      <w:rFonts w:eastAsia="Times New Roman"/>
                      <w:color w:val="auto"/>
                      <w:kern w:val="0"/>
                      <w:sz w:val="18"/>
                      <w:szCs w:val="18"/>
                      <w:lang w:eastAsia="tr-TR"/>
                    </w:rPr>
                    <w:t>(1) Bu Tebliğ, </w:t>
                  </w:r>
                  <w:proofErr w:type="gramStart"/>
                  <w:r w:rsidRPr="00ED57FD">
                    <w:rPr>
                      <w:rFonts w:eastAsia="Times New Roman"/>
                      <w:color w:val="auto"/>
                      <w:kern w:val="0"/>
                      <w:sz w:val="18"/>
                      <w:lang w:eastAsia="tr-TR"/>
                    </w:rPr>
                    <w:t>3/7/2005</w:t>
                  </w:r>
                  <w:proofErr w:type="gramEnd"/>
                  <w:r w:rsidRPr="00ED57FD">
                    <w:rPr>
                      <w:rFonts w:eastAsia="Times New Roman"/>
                      <w:color w:val="auto"/>
                      <w:kern w:val="0"/>
                      <w:sz w:val="18"/>
                      <w:szCs w:val="18"/>
                      <w:lang w:eastAsia="tr-TR"/>
                    </w:rPr>
                    <w:t> tarihli ve 5395 sayılı Çocuk Koruma Kanununun 5 ve 24/12/2006 tarihli ve 26386 sayılı Resmî Gazete’de yayımlanarak yürürlüğe giren Çocuk Koruma Kanununa Göre Verilen Koruyucu ve Destekleyici Tedbir Kararlarının Uygulanması Hakkında Yönetmeliğin 12 </w:t>
                  </w:r>
                  <w:proofErr w:type="spellStart"/>
                  <w:r w:rsidRPr="00ED57FD">
                    <w:rPr>
                      <w:rFonts w:eastAsia="Times New Roman"/>
                      <w:color w:val="auto"/>
                      <w:kern w:val="0"/>
                      <w:sz w:val="18"/>
                      <w:lang w:eastAsia="tr-TR"/>
                    </w:rPr>
                    <w:t>nci</w:t>
                  </w:r>
                  <w:proofErr w:type="spellEnd"/>
                  <w:r w:rsidRPr="00ED57FD">
                    <w:rPr>
                      <w:rFonts w:eastAsia="Times New Roman"/>
                      <w:color w:val="auto"/>
                      <w:kern w:val="0"/>
                      <w:sz w:val="18"/>
                      <w:szCs w:val="18"/>
                      <w:lang w:eastAsia="tr-TR"/>
                    </w:rPr>
                    <w:t> maddesine dayanılarak hazırlanmıştır.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Tanımlar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4 – </w:t>
                  </w:r>
                  <w:r w:rsidRPr="00ED57FD">
                    <w:rPr>
                      <w:rFonts w:eastAsia="Times New Roman"/>
                      <w:color w:val="auto"/>
                      <w:kern w:val="0"/>
                      <w:sz w:val="18"/>
                      <w:szCs w:val="18"/>
                      <w:lang w:eastAsia="tr-TR"/>
                    </w:rPr>
                    <w:t>(1) Bu Tebliğin uygulanmasında;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Daha erken yaşta ergin olsa bile, </w:t>
                  </w:r>
                  <w:proofErr w:type="spellStart"/>
                  <w:r w:rsidRPr="00ED57FD">
                    <w:rPr>
                      <w:rFonts w:eastAsia="Times New Roman"/>
                      <w:color w:val="auto"/>
                      <w:kern w:val="0"/>
                      <w:sz w:val="18"/>
                      <w:lang w:eastAsia="tr-TR"/>
                    </w:rPr>
                    <w:t>onsekiz</w:t>
                  </w:r>
                  <w:proofErr w:type="spellEnd"/>
                  <w:r w:rsidRPr="00ED57FD">
                    <w:rPr>
                      <w:rFonts w:eastAsia="Times New Roman"/>
                      <w:color w:val="auto"/>
                      <w:kern w:val="0"/>
                      <w:sz w:val="18"/>
                      <w:szCs w:val="18"/>
                      <w:lang w:eastAsia="tr-TR"/>
                    </w:rPr>
                    <w:t> yaşını doldurmamış kişiyi; bu kapsamda,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Korunma ihtiyacı olan çocuk: Bedensel, zihinsel, ahlâkî, sosyal ve duygusal gelişimi ile kişisel güvenliği tehlikede olan, ihmal veya istismar edilen ya da suç mağduru çocuğu,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Çocuk hâkimi: Hakkında kovuşturma başlatılmış olanlar hariç, suça sürüklenen çocuklarla korunma ihtiyacı olan çocuklar hakkında uygulanacak tedbir kararlarını veren çocuk mahkemesi hâkimini,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Kanun: </w:t>
                  </w:r>
                  <w:proofErr w:type="gramStart"/>
                  <w:r w:rsidRPr="00ED57FD">
                    <w:rPr>
                      <w:rFonts w:eastAsia="Times New Roman"/>
                      <w:color w:val="auto"/>
                      <w:kern w:val="0"/>
                      <w:sz w:val="18"/>
                      <w:lang w:eastAsia="tr-TR"/>
                    </w:rPr>
                    <w:t>3/7/2005</w:t>
                  </w:r>
                  <w:proofErr w:type="gramEnd"/>
                  <w:r w:rsidRPr="00ED57FD">
                    <w:rPr>
                      <w:rFonts w:eastAsia="Times New Roman"/>
                      <w:color w:val="auto"/>
                      <w:kern w:val="0"/>
                      <w:sz w:val="18"/>
                      <w:szCs w:val="18"/>
                      <w:lang w:eastAsia="tr-TR"/>
                    </w:rPr>
                    <w:t> tarihli ve 5395 sayılı Çocuk Koruma Kanununu,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Yönetmelik: </w:t>
                  </w:r>
                  <w:proofErr w:type="gramStart"/>
                  <w:r w:rsidRPr="00ED57FD">
                    <w:rPr>
                      <w:rFonts w:eastAsia="Times New Roman"/>
                      <w:color w:val="auto"/>
                      <w:kern w:val="0"/>
                      <w:sz w:val="18"/>
                      <w:lang w:eastAsia="tr-TR"/>
                    </w:rPr>
                    <w:t>24/12/2006</w:t>
                  </w:r>
                  <w:proofErr w:type="gramEnd"/>
                  <w:r w:rsidRPr="00ED57FD">
                    <w:rPr>
                      <w:rFonts w:eastAsia="Times New Roman"/>
                      <w:color w:val="auto"/>
                      <w:kern w:val="0"/>
                      <w:sz w:val="18"/>
                      <w:szCs w:val="18"/>
                      <w:lang w:eastAsia="tr-TR"/>
                    </w:rPr>
                    <w:t> tarihli ve 26386 sayılı Resmi Gazete’de yayımlanarak yürürlüğe giren Çocuk Koruma Kanununa Göre Verilen Koruyucu ve Destekleyici Tedbir Kararlarının Uygulanması Hakkında Yönetmeliği,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Kurum: Bu Yönetmelik kapsamındaki çocuğun bakılıp gözetildiği, hakkında verilen tedbir kararlarının yerine getirildiği resmî veya özel kurumları,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Mahkeme: Çocuk mahkemeleri ile çocuk ağır ceza mahkemelerini, çocuk mahkemesi bulunmayan yerlerde aile ya da asliye hukuk mahkemeleri ile ceza mahkemelerini,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Sosyal çalışma görevlisi: Psikolojik danışmanlık ve rehberlik, psikoloji, sosyal hizmet alanlarında eğitim veren kurumlardan mezun meslek mensuplarını,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ğ) Danışmanlık tedbiri: Çocuğun bakımından sorumlu olan kimselere çocuk yetiştirme konusunda; çocuklara da eğitim ve gelişimleri ile ilgili sorunlarının çözümünde yol göstermeye yönelik rehberlik tedbirleridir. (Yönetmelik 12/1.madde)</w:t>
                  </w:r>
                </w:p>
                <w:p w:rsidR="00ED57FD" w:rsidRPr="00ED57FD" w:rsidRDefault="00ED57FD" w:rsidP="00ED57FD">
                  <w:pPr>
                    <w:spacing w:after="113"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Yerel yönetim: İl Özel İdaresi ve Belediyeleri ifade eder.</w:t>
                  </w:r>
                </w:p>
                <w:p w:rsidR="00ED57FD" w:rsidRPr="00ED57FD" w:rsidRDefault="00ED57FD" w:rsidP="00ED57FD">
                  <w:pPr>
                    <w:spacing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İKİNCİ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Genel Esaslar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tedbirlerinin amacı ve kapsamı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5 –</w:t>
                  </w:r>
                  <w:r w:rsidRPr="00ED57FD">
                    <w:rPr>
                      <w:rFonts w:eastAsia="Times New Roman"/>
                      <w:color w:val="auto"/>
                      <w:kern w:val="0"/>
                      <w:sz w:val="18"/>
                      <w:szCs w:val="18"/>
                      <w:lang w:eastAsia="tr-TR"/>
                    </w:rPr>
                    <w:t> (1) Danışmanlık tedbirleri;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Bazı sorun alanlarında tek başına riski azaltıcı bir müdahale olarak bazılarında ise, diğer tedbirlerin uygulanmasından önce veya diğer tedbirlerle birlikte, o tedbirlere destek vermek amacıyla uygulanır.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 Danışmanlık tedbirlerinin kapsamı, çocukların bedensel, zihinsel,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lang w:eastAsia="tr-TR"/>
                    </w:rPr>
                    <w:t xml:space="preserve">-sosyal, duygusal gelişimini </w:t>
                  </w:r>
                  <w:r w:rsidRPr="00ED57FD">
                    <w:rPr>
                      <w:rFonts w:eastAsia="Times New Roman"/>
                      <w:color w:val="auto"/>
                      <w:kern w:val="0"/>
                      <w:sz w:val="18"/>
                      <w:lang w:eastAsia="tr-TR"/>
                    </w:rPr>
                    <w:lastRenderedPageBreak/>
                    <w:t>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lang w:eastAsia="tr-TR"/>
                    </w:rPr>
                    <w:t>-sosyal ve eğitsel destek hizmetleri olarak uygulanır.</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tedbirini uygulayabilecek görevliler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6 – </w:t>
                  </w:r>
                  <w:r w:rsidRPr="00ED57FD">
                    <w:rPr>
                      <w:rFonts w:eastAsia="Times New Roman"/>
                      <w:color w:val="auto"/>
                      <w:kern w:val="0"/>
                      <w:sz w:val="18"/>
                      <w:szCs w:val="18"/>
                      <w:lang w:eastAsia="tr-TR"/>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 verecek kurumlar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7 –</w:t>
                  </w:r>
                  <w:r w:rsidRPr="00ED57FD">
                    <w:rPr>
                      <w:rFonts w:eastAsia="Times New Roman"/>
                      <w:color w:val="auto"/>
                      <w:kern w:val="0"/>
                      <w:sz w:val="18"/>
                      <w:szCs w:val="18"/>
                      <w:lang w:eastAsia="tr-TR"/>
                    </w:rPr>
                    <w:t> (1) Danışmanlık tedbiri, Millî Eğitim Bakanlığı, Sosyal Hizmetler ve Çocuk Esirgeme Kurumu ve yerel yönetimler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szCs w:val="18"/>
                      <w:lang w:eastAsia="tr-TR"/>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 </w:t>
                  </w:r>
                  <w:r w:rsidRPr="00ED57FD">
                    <w:rPr>
                      <w:rFonts w:eastAsia="Times New Roman"/>
                      <w:color w:val="auto"/>
                      <w:kern w:val="0"/>
                      <w:sz w:val="18"/>
                      <w:lang w:eastAsia="tr-TR"/>
                    </w:rPr>
                    <w:t>veya  çocuğun</w:t>
                  </w:r>
                  <w:r w:rsidRPr="00ED57FD">
                    <w:rPr>
                      <w:rFonts w:eastAsia="Times New Roman"/>
                      <w:color w:val="auto"/>
                      <w:kern w:val="0"/>
                      <w:sz w:val="18"/>
                      <w:szCs w:val="18"/>
                      <w:lang w:eastAsia="tr-TR"/>
                    </w:rPr>
                    <w:t> herhangi bir okulla ilişiği bulunmadığı hâllerde ise rehberlik ve araştırma merkezlerince yerine getirilir.</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Tedbirin, Sosyal Hizmetler ve Çocuk Esirgeme Kurumunca uygulanmasına karar verildiği hallerde kurumca bu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szCs w:val="18"/>
                      <w:lang w:eastAsia="tr-TR"/>
                    </w:rPr>
                    <w:t> maddesinde sayılanlar arasından görevlendirilen kişi ya da kişiler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Yerel yönetimlerce uygulanmasına karar verildiği hallerde, bu amaçla açılmış danışmanlık ya da aile eğitimi hizmeti veren merkezler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Danışmanlık tedbirini yerine getirmekle sorumlu Millî Eğitim Bakanlığı, Sosyal Hizmetler ve Çocuk Esirgeme Kurumu ve yerel yönetimler bu hizmeti öncelikle kurumsal kapasiteleri kapsamında gerçekleştirirler. </w:t>
                  </w:r>
                  <w:proofErr w:type="gramStart"/>
                  <w:r w:rsidRPr="00ED57FD">
                    <w:rPr>
                      <w:rFonts w:eastAsia="Times New Roman"/>
                      <w:color w:val="auto"/>
                      <w:kern w:val="0"/>
                      <w:sz w:val="18"/>
                      <w:lang w:eastAsia="tr-TR"/>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lang w:eastAsia="tr-TR"/>
                    </w:rPr>
                    <w:t> maddesinde belirtilen nitelikte görevliler tarafından protokol yaparak ya da hizmet satın alma suretiyle de yerine getirebilirler. </w:t>
                  </w:r>
                  <w:proofErr w:type="gramEnd"/>
                  <w:r w:rsidRPr="00ED57FD">
                    <w:rPr>
                      <w:rFonts w:eastAsia="Times New Roman"/>
                      <w:color w:val="auto"/>
                      <w:kern w:val="0"/>
                      <w:sz w:val="18"/>
                      <w:szCs w:val="18"/>
                      <w:lang w:eastAsia="tr-TR"/>
                    </w:rPr>
                    <w:t>Ancak, danışmanlık tedbirinin uygulanması amacıyla verilecek bu hizmetler, sorumlu Bakanlığın taşra biriminin ya da yerel yönetimin denetiminde yürütülür.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 </w:t>
                  </w:r>
                  <w:proofErr w:type="gramStart"/>
                  <w:r w:rsidRPr="00ED57FD">
                    <w:rPr>
                      <w:rFonts w:eastAsia="Times New Roman"/>
                      <w:b/>
                      <w:bCs/>
                      <w:color w:val="auto"/>
                      <w:kern w:val="0"/>
                      <w:sz w:val="18"/>
                      <w:lang w:eastAsia="tr-TR"/>
                    </w:rPr>
                    <w:t>kriterleri</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8 – </w:t>
                  </w:r>
                  <w:r w:rsidRPr="00ED57FD">
                    <w:rPr>
                      <w:rFonts w:eastAsia="Times New Roman"/>
                      <w:color w:val="auto"/>
                      <w:kern w:val="0"/>
                      <w:sz w:val="18"/>
                      <w:szCs w:val="18"/>
                      <w:lang w:eastAsia="tr-TR"/>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Çocuk hakkında danışmanlık tedbirinin yanı sıra diğer tedbirlere ya da denetim altına alınmasına karar verildiği hallerde, ilgili tedbir kararı ya da denetimi izleyecek, kişi ile danışmanlık hizmetini verecek kişi aynı olamaz.</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Danışmanlık tedbiri, ailenin kararlara katılımını sağlamaya elverişli olacak şekilde, diğer tedbir kararlarını ya da denetim altına alma kararını izleyen görevliler ile iş birliği içerisinde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rsidRPr="00ED57FD">
                    <w:rPr>
                      <w:rFonts w:eastAsia="Times New Roman"/>
                      <w:color w:val="auto"/>
                      <w:kern w:val="0"/>
                      <w:sz w:val="18"/>
                      <w:lang w:eastAsia="tr-TR"/>
                    </w:rPr>
                    <w:t>nci</w:t>
                  </w:r>
                  <w:proofErr w:type="spellEnd"/>
                  <w:r w:rsidRPr="00ED57FD">
                    <w:rPr>
                      <w:rFonts w:eastAsia="Times New Roman"/>
                      <w:color w:val="auto"/>
                      <w:kern w:val="0"/>
                      <w:sz w:val="18"/>
                      <w:szCs w:val="18"/>
                      <w:lang w:eastAsia="tr-TR"/>
                    </w:rPr>
                    <w:t> maddesinde belirtilen bilgi edinme ilkelerine uymak şartıyla sosyal inceleme raporundan yararlanılır.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Danışmanlık tedbiri, hizmetin niteliğine göre haftalık ya da </w:t>
                  </w:r>
                  <w:proofErr w:type="spellStart"/>
                  <w:r w:rsidRPr="00ED57FD">
                    <w:rPr>
                      <w:rFonts w:eastAsia="Times New Roman"/>
                      <w:color w:val="auto"/>
                      <w:kern w:val="0"/>
                      <w:sz w:val="18"/>
                      <w:lang w:eastAsia="tr-TR"/>
                    </w:rPr>
                    <w:t>onbeş</w:t>
                  </w:r>
                  <w:proofErr w:type="spellEnd"/>
                  <w:r w:rsidRPr="00ED57FD">
                    <w:rPr>
                      <w:rFonts w:eastAsia="Times New Roman"/>
                      <w:color w:val="auto"/>
                      <w:kern w:val="0"/>
                      <w:sz w:val="18"/>
                      <w:szCs w:val="18"/>
                      <w:lang w:eastAsia="tr-TR"/>
                    </w:rPr>
                    <w:t> günlük </w:t>
                  </w:r>
                  <w:proofErr w:type="gramStart"/>
                  <w:r w:rsidRPr="00ED57FD">
                    <w:rPr>
                      <w:rFonts w:eastAsia="Times New Roman"/>
                      <w:color w:val="auto"/>
                      <w:kern w:val="0"/>
                      <w:sz w:val="18"/>
                      <w:lang w:eastAsia="tr-TR"/>
                    </w:rPr>
                    <w:t>periyotlarla</w:t>
                  </w:r>
                  <w:proofErr w:type="gramEnd"/>
                  <w:r w:rsidRPr="00ED57FD">
                    <w:rPr>
                      <w:rFonts w:eastAsia="Times New Roman"/>
                      <w:color w:val="auto"/>
                      <w:kern w:val="0"/>
                      <w:sz w:val="18"/>
                      <w:szCs w:val="18"/>
                      <w:lang w:eastAsia="tr-TR"/>
                    </w:rPr>
                    <w:t> uygulanmalı, asgari sekiz seans yapılmalıdır. Bu süre sonunda tedbirin devamı konusunda karar verilmelidir.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(6) Danışmanlık tedbirlerinin uygulanması, çocuk, aile veya çocuğun bakımından sorumlu kimseler için hazırlanmış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szCs w:val="18"/>
                      <w:lang w:eastAsia="tr-TR"/>
                    </w:rPr>
                    <w:t xml:space="preserve">-eğitsel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w:t>
                  </w:r>
                  <w:r w:rsidRPr="00ED57FD">
                    <w:rPr>
                      <w:rFonts w:eastAsia="Times New Roman"/>
                      <w:color w:val="auto"/>
                      <w:kern w:val="0"/>
                      <w:sz w:val="18"/>
                      <w:szCs w:val="18"/>
                      <w:lang w:eastAsia="tr-TR"/>
                    </w:rPr>
                    <w:lastRenderedPageBreak/>
                    <w:t>kimselerin ve ebeveynlerin ise rehberlik edici ve eğitici potansiyellerini geliştirmeyi hedeflemelidir.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tedbiri süreci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9 –</w:t>
                  </w:r>
                  <w:r w:rsidRPr="00ED57FD">
                    <w:rPr>
                      <w:rFonts w:eastAsia="Times New Roman"/>
                      <w:color w:val="auto"/>
                      <w:kern w:val="0"/>
                      <w:sz w:val="18"/>
                      <w:szCs w:val="18"/>
                      <w:lang w:eastAsia="tr-TR"/>
                    </w:rPr>
                    <w:t> (1) Danışmanlık tedbiri süreci aşağıdaki hususları içerecek biçimde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aile, bakmakla yükümlü kişi veya kişiler ile ilgili bilgiler ve dosya bilgileri toplanarak incelenir.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Çocuk, aile, bakmakla yükümlü kişi veya kişiler ile tanışılır.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Danışman, görev ve sorumlulukları hakkında çocuğu, aileyi, bakmakla yükümlü kişi veya kişileri bilgilendirir.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Sorunun tarafları olabilecek aile, öğretmen, idareci ve bunun gibi kimselerle görüşülerek problemin sınırları belirlenir.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Çocuğa ve aileye mahkeme kararı ve yükümlülüklerinin tanıtımı, uymama halinde ve devamının kesilmesinde sonuçları ile aileye çocuğuyla ilgili sorumlulukları anlatılır.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Danışmanlık hizmeti ile ilgili bir uygulama planı hazırlanır. Çocuğun ailesinin yanında yaşadığı durumlarda çocuk ve aile sürece birlikte </w:t>
                  </w:r>
                  <w:proofErr w:type="gramStart"/>
                  <w:r w:rsidRPr="00ED57FD">
                    <w:rPr>
                      <w:rFonts w:eastAsia="Times New Roman"/>
                      <w:color w:val="auto"/>
                      <w:kern w:val="0"/>
                      <w:sz w:val="18"/>
                      <w:lang w:eastAsia="tr-TR"/>
                    </w:rPr>
                    <w:t>dahil</w:t>
                  </w:r>
                  <w:proofErr w:type="gramEnd"/>
                  <w:r w:rsidRPr="00ED57FD">
                    <w:rPr>
                      <w:rFonts w:eastAsia="Times New Roman"/>
                      <w:color w:val="auto"/>
                      <w:kern w:val="0"/>
                      <w:sz w:val="18"/>
                      <w:szCs w:val="18"/>
                      <w:lang w:eastAsia="tr-TR"/>
                    </w:rPr>
                    <w:t>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Danışmanlık tedbirinin uygulama sürecinin değerlendirilmesinde kullanılacak izleme </w:t>
                  </w:r>
                  <w:proofErr w:type="gramStart"/>
                  <w:r w:rsidRPr="00ED57FD">
                    <w:rPr>
                      <w:rFonts w:eastAsia="Times New Roman"/>
                      <w:color w:val="auto"/>
                      <w:kern w:val="0"/>
                      <w:sz w:val="18"/>
                      <w:lang w:eastAsia="tr-TR"/>
                    </w:rPr>
                    <w:t>kriterleri</w:t>
                  </w:r>
                  <w:proofErr w:type="gramEnd"/>
                  <w:r w:rsidRPr="00ED57FD">
                    <w:rPr>
                      <w:rFonts w:eastAsia="Times New Roman"/>
                      <w:color w:val="auto"/>
                      <w:kern w:val="0"/>
                      <w:sz w:val="18"/>
                      <w:szCs w:val="18"/>
                      <w:lang w:eastAsia="tr-TR"/>
                    </w:rPr>
                    <w:t>, bu hizmeti sunacak danışman tarafından belirlenerek uygulama planında gösterilir.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Uygulama planı doğrultusunda üçer aylık </w:t>
                  </w:r>
                  <w:proofErr w:type="gramStart"/>
                  <w:r w:rsidRPr="00ED57FD">
                    <w:rPr>
                      <w:rFonts w:eastAsia="Times New Roman"/>
                      <w:color w:val="auto"/>
                      <w:kern w:val="0"/>
                      <w:sz w:val="18"/>
                      <w:lang w:eastAsia="tr-TR"/>
                    </w:rPr>
                    <w:t>periyotlarla</w:t>
                  </w:r>
                  <w:proofErr w:type="gramEnd"/>
                  <w:r w:rsidRPr="00ED57FD">
                    <w:rPr>
                      <w:rFonts w:eastAsia="Times New Roman"/>
                      <w:color w:val="auto"/>
                      <w:kern w:val="0"/>
                      <w:sz w:val="18"/>
                      <w:szCs w:val="18"/>
                      <w:lang w:eastAsia="tr-TR"/>
                    </w:rPr>
                    <w:t> sürecin değerlendirmesine ve varsa tedbirin değiştirilmesine ilişkin öneriyi de içeren rapor; Yönetmeliğin 18 inci maddesinde belirtilen usule göre mahkeme veya çocuk hâkimi tarafından, incelettirilmek üzere mahkemeye ulaştırılır.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Danışmanlık hizmeti, danışmanın, bu tedbirde istenen amaca ulaşıldığına dair raporu üzerine mahkeme veya çocuk hâkiminin vereceği kararla sona erer.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ED57FD" w:rsidRPr="00ED57FD" w:rsidRDefault="00ED57FD" w:rsidP="00ED57FD">
                  <w:pPr>
                    <w:spacing w:before="113"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ÜÇÜNCÜ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Eğitim</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Eğitimin kapsamı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10 –</w:t>
                  </w:r>
                  <w:r w:rsidRPr="00ED57FD">
                    <w:rPr>
                      <w:rFonts w:eastAsia="Times New Roman"/>
                      <w:color w:val="auto"/>
                      <w:kern w:val="0"/>
                      <w:sz w:val="18"/>
                      <w:szCs w:val="18"/>
                      <w:lang w:eastAsia="tr-TR"/>
                    </w:rPr>
                    <w:t> (1) Danışmanlık tedbiri kararlarının uygulanmasında olumlu sonuçların alınması amacıyla bu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szCs w:val="18"/>
                      <w:lang w:eastAsia="tr-TR"/>
                    </w:rPr>
                    <w:t> maddesinde sayılan görevlilere hizmet içi eğitim programları düzenlenir.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Uzmanlık alanı ne olursa olsun, danışmanlık hizmeti verecek olan görevlilerin bu hizmetin amacı ile uygulamaları için hazırlanmış programları öğrenme ve uygulama becerileri konusunda hizmet içi eğitime tabi tutulmaları sağlanır.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Danışmanlık eğitimi, genel ve özel konular olmak üzere iki ana başlık üzerinden en az yüz saat olmak üzere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Genel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 Danışmanlık tedbirleri tanımı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 Çocuk ve aileyi ilgilendiren ulusal ve uluslararası mevzuat </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 Çocuk ve aileyi koruma ve adalet sisteminin işleyişi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 Bireysel ve toplumsal risk faktörleri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 Türk toplumu ve ailesinin milli, manevi değerleri ve etik kuralları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6 - Normal ve patolojik durum ile ilgili temel bilgiler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7 - Danışmanlığın sınırları, sevk ve havale mekanizmaları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8 - Ölçme teknikleri, izleme, değerlendirme ve raporlandırma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9 - Kriz ve krize müdahale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10 - İletişim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11 - Bireyi tanıma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12 - Karar verme, plan yapma, uygulama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Özel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Aile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Ailenin yapısal ve işlevsel değerlendirilmesi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lastRenderedPageBreak/>
                    <w:t>             b) Aile sistemleri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Ana baba tutumları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Aile ve risk faktörleri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Ailenin gelişim dönemleri/yaşam döngüsü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Aile içi kriz ve krize müdahale yöntemleri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Ana baba rolleri ve olumlu disiplin yöntemleri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Aile dinamikleri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ğ) Aile kuramları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Aileye müdahale sürecinde danışmanlık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ı) Aile içi şiddet</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i) Madde kullanımı ve bağımlılığı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j) Aile bireylerinden birinin hükümlü, yaşlı, özürlü, bağımlı veya süreğen bir hastalığa sahip olması gibi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 Çocuk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ihmal ve istismarı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Madde kullanımı ve bağımlılığı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Risk grubuna giren çocukların özellikleri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Cinsel istismar mağduru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Şiddet mağduru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Sokakta yaşayan ve çalışan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Gelişim dönemleri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Bedensel ve cinsel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Ahlaki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szCs w:val="18"/>
                      <w:lang w:eastAsia="tr-TR"/>
                    </w:rPr>
                    <w:t> – sosyal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ç</w:t>
                  </w:r>
                  <w:proofErr w:type="gramEnd"/>
                  <w:r w:rsidRPr="00ED57FD">
                    <w:rPr>
                      <w:rFonts w:eastAsia="Times New Roman"/>
                      <w:color w:val="auto"/>
                      <w:kern w:val="0"/>
                      <w:sz w:val="18"/>
                      <w:szCs w:val="18"/>
                      <w:lang w:eastAsia="tr-TR"/>
                    </w:rPr>
                    <w:t>. Bilişsel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Ergenlik dönemi sorunları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Öfke kontrolü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İntihar eğilimi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Hayır diyebilme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Eğitim sorunlarını değerlendirme ve eğitim danışmanlığı, okul başarısını etkileyen faktörler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Hobiler, yetenek ve yeterli olduğu alanların belirlenmesi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Mesleğe yöneltme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Kimlik oluşturulması, bireyselleşme sürecinin desteklenmesi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Ergenin eleştirel düşünme ve karar verme becerisini geliştirme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Sosyal beceri kazanma ve toplumsallaşma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ı) Serbest zaman etkinliklerine yönlendirme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i) Akran ilişkileri konusunda bilgilendirme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j) Girişimciliğinin desteklenmesi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k) Çocuk danışmanlığı uygulama basamakları ve süreçleri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gibi</w:t>
                  </w:r>
                  <w:proofErr w:type="gramEnd"/>
                  <w:r w:rsidRPr="00ED57FD">
                    <w:rPr>
                      <w:rFonts w:eastAsia="Times New Roman"/>
                      <w:color w:val="auto"/>
                      <w:kern w:val="0"/>
                      <w:sz w:val="18"/>
                      <w:szCs w:val="18"/>
                      <w:lang w:eastAsia="tr-TR"/>
                    </w:rPr>
                    <w:t> konulardan oluşur.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eğitiminin verilme usulü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11 –</w:t>
                  </w:r>
                  <w:r w:rsidRPr="00ED57FD">
                    <w:rPr>
                      <w:rFonts w:eastAsia="Times New Roman"/>
                      <w:color w:val="auto"/>
                      <w:kern w:val="0"/>
                      <w:sz w:val="18"/>
                      <w:szCs w:val="18"/>
                      <w:lang w:eastAsia="tr-TR"/>
                    </w:rPr>
                    <w:t>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Eğitimi başarıyla tamamlayanlara sertifika ya da katılım belgesi verilir. Sertifika ya da katılım belgesi, danışmanlık tedbirini yerine getirmekle yükümlü kurumlar tarafından verilir.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ED57FD" w:rsidRPr="00ED57FD" w:rsidRDefault="00ED57FD" w:rsidP="00ED57FD">
                  <w:pPr>
                    <w:spacing w:before="113"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DÖRDÜNCÜ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Çeşitli ve Son Hükümler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spellStart"/>
                  <w:r w:rsidRPr="00ED57FD">
                    <w:rPr>
                      <w:rFonts w:eastAsia="Times New Roman"/>
                      <w:b/>
                      <w:bCs/>
                      <w:color w:val="auto"/>
                      <w:kern w:val="0"/>
                      <w:sz w:val="18"/>
                      <w:lang w:eastAsia="tr-TR"/>
                    </w:rPr>
                    <w:t>Sekreterya</w:t>
                  </w:r>
                  <w:proofErr w:type="spell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12 –</w:t>
                  </w:r>
                  <w:r w:rsidRPr="00ED57FD">
                    <w:rPr>
                      <w:rFonts w:eastAsia="Times New Roman"/>
                      <w:color w:val="auto"/>
                      <w:kern w:val="0"/>
                      <w:sz w:val="18"/>
                      <w:szCs w:val="18"/>
                      <w:lang w:eastAsia="tr-TR"/>
                    </w:rPr>
                    <w:t xml:space="preserve"> (1) Eğitim komisyonunun oluşumu, eğitim plan ve programları ile materyalinin </w:t>
                  </w:r>
                  <w:r w:rsidRPr="00ED57FD">
                    <w:rPr>
                      <w:rFonts w:eastAsia="Times New Roman"/>
                      <w:color w:val="auto"/>
                      <w:kern w:val="0"/>
                      <w:sz w:val="18"/>
                      <w:szCs w:val="18"/>
                      <w:lang w:eastAsia="tr-TR"/>
                    </w:rPr>
                    <w:lastRenderedPageBreak/>
                    <w:t>hazırlanmasının </w:t>
                  </w:r>
                  <w:proofErr w:type="spellStart"/>
                  <w:r w:rsidRPr="00ED57FD">
                    <w:rPr>
                      <w:rFonts w:eastAsia="Times New Roman"/>
                      <w:color w:val="auto"/>
                      <w:kern w:val="0"/>
                      <w:sz w:val="18"/>
                      <w:lang w:eastAsia="tr-TR"/>
                    </w:rPr>
                    <w:t>sekreterya</w:t>
                  </w:r>
                  <w:proofErr w:type="spellEnd"/>
                  <w:r w:rsidRPr="00ED57FD">
                    <w:rPr>
                      <w:rFonts w:eastAsia="Times New Roman"/>
                      <w:color w:val="auto"/>
                      <w:kern w:val="0"/>
                      <w:sz w:val="18"/>
                      <w:szCs w:val="18"/>
                      <w:lang w:eastAsia="tr-TR"/>
                    </w:rPr>
                    <w:t> hizmetleri Milli Eğitim Bakanlığınca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hizmetini verebilecek kişilerin bildirimi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13 – </w:t>
                  </w:r>
                  <w:r w:rsidRPr="00ED57FD">
                    <w:rPr>
                      <w:rFonts w:eastAsia="Times New Roman"/>
                      <w:color w:val="auto"/>
                      <w:kern w:val="0"/>
                      <w:sz w:val="18"/>
                      <w:szCs w:val="18"/>
                      <w:lang w:eastAsia="tr-TR"/>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Yürürlük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14 –</w:t>
                  </w:r>
                  <w:r w:rsidRPr="00ED57FD">
                    <w:rPr>
                      <w:rFonts w:eastAsia="Times New Roman"/>
                      <w:color w:val="auto"/>
                      <w:kern w:val="0"/>
                      <w:sz w:val="18"/>
                      <w:szCs w:val="18"/>
                      <w:lang w:eastAsia="tr-TR"/>
                    </w:rPr>
                    <w:t> (1) Bu Tebliğ yayımı tarihinde yürürlüğe girer.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Yürütme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15 –</w:t>
                  </w:r>
                  <w:r w:rsidRPr="00ED57FD">
                    <w:rPr>
                      <w:rFonts w:eastAsia="Times New Roman"/>
                      <w:color w:val="auto"/>
                      <w:kern w:val="0"/>
                      <w:sz w:val="18"/>
                      <w:szCs w:val="18"/>
                      <w:lang w:eastAsia="tr-TR"/>
                    </w:rPr>
                    <w:t> (1) Bu Tebliğ hükümlerini Sosyal Hizmetler ve Çocuk Esirgeme Kurumu Genel Müdürlüğünün bağlı olduğu Devlet Bakanı, İçişleri Bakanı ve Milli Eğitim Bakanı birlikte yürütür.</w:t>
                  </w:r>
                </w:p>
                <w:p w:rsidR="00ED57FD" w:rsidRPr="00ED57FD" w:rsidRDefault="00ED57FD" w:rsidP="00ED57FD">
                  <w:pPr>
                    <w:spacing w:before="100" w:beforeAutospacing="1" w:after="100" w:afterAutospacing="1" w:line="240" w:lineRule="auto"/>
                    <w:jc w:val="center"/>
                    <w:rPr>
                      <w:rFonts w:eastAsia="Times New Roman"/>
                      <w:color w:val="auto"/>
                      <w:kern w:val="0"/>
                      <w:lang w:eastAsia="tr-TR"/>
                    </w:rPr>
                  </w:pPr>
                  <w:r w:rsidRPr="00ED57FD">
                    <w:rPr>
                      <w:rFonts w:ascii="Arial" w:eastAsia="Times New Roman" w:hAnsi="Arial" w:cs="Arial"/>
                      <w:b/>
                      <w:bCs/>
                      <w:color w:val="000080"/>
                      <w:kern w:val="0"/>
                      <w:sz w:val="18"/>
                      <w:szCs w:val="18"/>
                      <w:lang w:eastAsia="tr-TR"/>
                    </w:rPr>
                    <w:t> </w:t>
                  </w:r>
                </w:p>
              </w:tc>
            </w:tr>
          </w:tbl>
          <w:p w:rsidR="00ED57FD" w:rsidRPr="00ED57FD" w:rsidRDefault="00ED57FD" w:rsidP="00ED57FD">
            <w:pPr>
              <w:spacing w:after="0" w:line="240" w:lineRule="auto"/>
              <w:rPr>
                <w:rFonts w:eastAsia="Times New Roman"/>
                <w:color w:val="auto"/>
                <w:kern w:val="0"/>
                <w:lang w:eastAsia="tr-TR"/>
              </w:rPr>
            </w:pPr>
          </w:p>
        </w:tc>
      </w:tr>
    </w:tbl>
    <w:p w:rsidR="00ED57FD" w:rsidRPr="00ED57FD" w:rsidRDefault="00ED57FD" w:rsidP="00ED57FD">
      <w:pPr>
        <w:spacing w:after="0" w:line="240" w:lineRule="auto"/>
        <w:rPr>
          <w:rFonts w:eastAsia="Times New Roman"/>
          <w:kern w:val="0"/>
          <w:sz w:val="27"/>
          <w:szCs w:val="27"/>
          <w:lang w:eastAsia="tr-TR"/>
        </w:rPr>
      </w:pPr>
      <w:r w:rsidRPr="00ED57FD">
        <w:rPr>
          <w:rFonts w:eastAsia="Times New Roman"/>
          <w:kern w:val="0"/>
          <w:sz w:val="27"/>
          <w:szCs w:val="27"/>
          <w:lang w:eastAsia="tr-TR"/>
        </w:rPr>
        <w:lastRenderedPageBreak/>
        <w:t> </w:t>
      </w:r>
    </w:p>
    <w:p w:rsidR="00696BB0" w:rsidRDefault="00696BB0"/>
    <w:sectPr w:rsidR="00696BB0" w:rsidSect="00696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7FD"/>
    <w:rsid w:val="00397304"/>
    <w:rsid w:val="00696BB0"/>
    <w:rsid w:val="00BA1AC5"/>
    <w:rsid w:val="00C42080"/>
    <w:rsid w:val="00CA4AB7"/>
    <w:rsid w:val="00E40B83"/>
    <w:rsid w:val="00EB6C9D"/>
    <w:rsid w:val="00ED5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4"/>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57FD"/>
    <w:pPr>
      <w:spacing w:before="100" w:beforeAutospacing="1" w:after="100" w:afterAutospacing="1" w:line="240" w:lineRule="auto"/>
    </w:pPr>
    <w:rPr>
      <w:rFonts w:eastAsia="Times New Roman"/>
      <w:color w:val="auto"/>
      <w:kern w:val="0"/>
      <w:lang w:eastAsia="tr-TR"/>
    </w:rPr>
  </w:style>
  <w:style w:type="paragraph" w:customStyle="1" w:styleId="anabaslk">
    <w:name w:val="anabaslk"/>
    <w:basedOn w:val="Normal"/>
    <w:rsid w:val="00ED57FD"/>
    <w:pPr>
      <w:spacing w:before="100" w:beforeAutospacing="1" w:after="100" w:afterAutospacing="1" w:line="240" w:lineRule="auto"/>
    </w:pPr>
    <w:rPr>
      <w:rFonts w:eastAsia="Times New Roman"/>
      <w:color w:val="auto"/>
      <w:kern w:val="0"/>
      <w:lang w:eastAsia="tr-TR"/>
    </w:rPr>
  </w:style>
  <w:style w:type="paragraph" w:customStyle="1" w:styleId="normalyaz">
    <w:name w:val="normalyaz"/>
    <w:basedOn w:val="Normal"/>
    <w:rsid w:val="00ED57FD"/>
    <w:pPr>
      <w:spacing w:before="100" w:beforeAutospacing="1" w:after="100" w:afterAutospacing="1" w:line="240" w:lineRule="auto"/>
    </w:pPr>
    <w:rPr>
      <w:rFonts w:eastAsia="Times New Roman"/>
      <w:color w:val="auto"/>
      <w:kern w:val="0"/>
      <w:lang w:eastAsia="tr-TR"/>
    </w:rPr>
  </w:style>
  <w:style w:type="character" w:customStyle="1" w:styleId="spelle">
    <w:name w:val="spelle"/>
    <w:basedOn w:val="VarsaylanParagrafYazTipi"/>
    <w:rsid w:val="00ED57FD"/>
  </w:style>
  <w:style w:type="character" w:customStyle="1" w:styleId="grame">
    <w:name w:val="grame"/>
    <w:basedOn w:val="VarsaylanParagrafYazTipi"/>
    <w:rsid w:val="00ED57FD"/>
  </w:style>
</w:styles>
</file>

<file path=word/webSettings.xml><?xml version="1.0" encoding="utf-8"?>
<w:webSettings xmlns:r="http://schemas.openxmlformats.org/officeDocument/2006/relationships" xmlns:w="http://schemas.openxmlformats.org/wordprocessingml/2006/main">
  <w:divs>
    <w:div w:id="373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2019-09-11T11:57:00Z</dcterms:created>
  <dcterms:modified xsi:type="dcterms:W3CDTF">2019-09-11T11:57:00Z</dcterms:modified>
</cp:coreProperties>
</file>